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C1" w:rsidRPr="0044319B" w:rsidRDefault="00701FA0" w:rsidP="00701F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QUY TRÌNH</w:t>
      </w:r>
      <w:r w:rsidR="0044319B" w:rsidRPr="0044319B">
        <w:rPr>
          <w:rFonts w:ascii="Times New Roman" w:hAnsi="Times New Roman" w:cs="Times New Roman"/>
          <w:b/>
          <w:sz w:val="26"/>
          <w:szCs w:val="26"/>
        </w:rPr>
        <w:t>19</w:t>
      </w:r>
    </w:p>
    <w:p w:rsidR="00215CA5" w:rsidRPr="0044319B" w:rsidRDefault="00701FA0" w:rsidP="00215C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 xml:space="preserve">Thủ tục </w:t>
      </w:r>
      <w:r w:rsidR="00215CA5" w:rsidRPr="0044319B">
        <w:rPr>
          <w:rFonts w:ascii="Times New Roman" w:hAnsi="Times New Roman" w:cs="Times New Roman"/>
          <w:b/>
          <w:sz w:val="26"/>
          <w:szCs w:val="26"/>
        </w:rPr>
        <w:t>cho phép trường mẫu giáo,trường mầm non, nhà trẻ</w:t>
      </w:r>
    </w:p>
    <w:p w:rsidR="00701FA0" w:rsidRPr="0044319B" w:rsidRDefault="00215CA5" w:rsidP="00215C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hoạt động giáo dục trở lại</w:t>
      </w:r>
    </w:p>
    <w:p w:rsidR="00D47B3E" w:rsidRDefault="00D47B3E" w:rsidP="00D47B3E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(Ban hành kèm theo Quyết định số 4115 /QĐ-UBND ngày 30  tháng 9  năm 2019</w:t>
      </w:r>
    </w:p>
    <w:p w:rsidR="00D47B3E" w:rsidRDefault="00D47B3E" w:rsidP="00D47B3E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Chủ tịch Ủy ban nhân dân thành phố)</w:t>
      </w:r>
    </w:p>
    <w:p w:rsidR="0044319B" w:rsidRPr="0044319B" w:rsidRDefault="0044319B" w:rsidP="004431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270A" w:rsidRPr="0044319B" w:rsidRDefault="003A270A" w:rsidP="00B756FE">
      <w:pPr>
        <w:spacing w:before="120" w:after="12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I. THÀNH PHẦN HỒ SƠ</w:t>
      </w:r>
    </w:p>
    <w:tbl>
      <w:tblPr>
        <w:tblStyle w:val="TableGrid"/>
        <w:tblW w:w="0" w:type="auto"/>
        <w:tblLook w:val="04A0"/>
      </w:tblPr>
      <w:tblGrid>
        <w:gridCol w:w="846"/>
        <w:gridCol w:w="5670"/>
        <w:gridCol w:w="1417"/>
        <w:gridCol w:w="1814"/>
      </w:tblGrid>
      <w:tr w:rsidR="00DD6E1B" w:rsidRPr="0044319B" w:rsidTr="0044319B">
        <w:tc>
          <w:tcPr>
            <w:tcW w:w="846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670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Tên hồ sơ</w:t>
            </w:r>
          </w:p>
        </w:tc>
        <w:tc>
          <w:tcPr>
            <w:tcW w:w="1417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14" w:type="dxa"/>
            <w:vAlign w:val="center"/>
          </w:tcPr>
          <w:p w:rsidR="00102AEE" w:rsidRPr="0044319B" w:rsidRDefault="00102AEE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Tờ trình cho phép hoạt động giáo dục trở lại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Quyết định thành lập đoàn kiểm tra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C95655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  <w:tr w:rsidR="00DD6E1B" w:rsidRPr="0044319B" w:rsidTr="0044319B">
        <w:tc>
          <w:tcPr>
            <w:tcW w:w="846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0" w:type="dxa"/>
            <w:vAlign w:val="center"/>
          </w:tcPr>
          <w:p w:rsidR="0030151C" w:rsidRPr="0044319B" w:rsidRDefault="0030151C" w:rsidP="0030151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Biên bản kiểm tra</w:t>
            </w:r>
          </w:p>
        </w:tc>
        <w:tc>
          <w:tcPr>
            <w:tcW w:w="1417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14" w:type="dxa"/>
            <w:vAlign w:val="center"/>
          </w:tcPr>
          <w:p w:rsidR="0030151C" w:rsidRPr="0044319B" w:rsidRDefault="0030151C" w:rsidP="0030151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Bản chính</w:t>
            </w:r>
          </w:p>
        </w:tc>
      </w:tr>
    </w:tbl>
    <w:p w:rsidR="00EC3385" w:rsidRPr="0044319B" w:rsidRDefault="00EC3385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II. NƠI TIẾP NHẬN, TRẢ KẾT QUẢ, THỜI GIAN VÀ LỆ PHÍ</w:t>
      </w:r>
    </w:p>
    <w:tbl>
      <w:tblPr>
        <w:tblStyle w:val="TableGrid"/>
        <w:tblW w:w="0" w:type="auto"/>
        <w:tblLook w:val="04A0"/>
      </w:tblPr>
      <w:tblGrid>
        <w:gridCol w:w="4361"/>
        <w:gridCol w:w="3543"/>
        <w:gridCol w:w="1984"/>
      </w:tblGrid>
      <w:tr w:rsidR="00DD6E1B" w:rsidRPr="0044319B" w:rsidTr="00F9220A">
        <w:tc>
          <w:tcPr>
            <w:tcW w:w="4361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Nơi tiếp nhận và trả kết quả</w:t>
            </w:r>
          </w:p>
        </w:tc>
        <w:tc>
          <w:tcPr>
            <w:tcW w:w="3543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Thời gian xử lý</w:t>
            </w:r>
          </w:p>
        </w:tc>
        <w:tc>
          <w:tcPr>
            <w:tcW w:w="1984" w:type="dxa"/>
            <w:vAlign w:val="center"/>
          </w:tcPr>
          <w:p w:rsidR="00EC3385" w:rsidRPr="0044319B" w:rsidRDefault="00EC3385" w:rsidP="00B756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Lệ phí</w:t>
            </w:r>
          </w:p>
        </w:tc>
      </w:tr>
      <w:tr w:rsidR="00DD6E1B" w:rsidRPr="0044319B" w:rsidTr="00F9220A">
        <w:tc>
          <w:tcPr>
            <w:tcW w:w="4361" w:type="dxa"/>
            <w:vAlign w:val="center"/>
          </w:tcPr>
          <w:p w:rsidR="00EC3385" w:rsidRPr="0044319B" w:rsidRDefault="00CF5100" w:rsidP="006B146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Bộ phận tiếp nhận và trả kết quả - Ủy ban nhân dân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quận, huyện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(nếu Phòng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Giáo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dục và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Đào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tạo nằm trong trụ sở </w:t>
            </w:r>
            <w:r w:rsidR="006B1467" w:rsidRPr="0044319B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) hoặc Phòng Giáo dục và Đào tạo các quận – huyện (Nếu Phòng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Giáo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dục và </w:t>
            </w:r>
            <w:r w:rsidR="00B15112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Đào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tạo có trụ sở riêng).</w:t>
            </w:r>
          </w:p>
        </w:tc>
        <w:tc>
          <w:tcPr>
            <w:tcW w:w="3543" w:type="dxa"/>
            <w:vAlign w:val="center"/>
          </w:tcPr>
          <w:p w:rsidR="00EC3385" w:rsidRPr="0044319B" w:rsidRDefault="0030151C" w:rsidP="0051403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4037" w:rsidRPr="004431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1F83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ngày làm việc kể từ </w:t>
            </w:r>
            <w:r w:rsidR="00CF5100" w:rsidRPr="0044319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EC1F83"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nhận đủ hồ sơ hợp lệ</w:t>
            </w:r>
          </w:p>
        </w:tc>
        <w:tc>
          <w:tcPr>
            <w:tcW w:w="1984" w:type="dxa"/>
            <w:vAlign w:val="center"/>
          </w:tcPr>
          <w:p w:rsidR="00EC3385" w:rsidRPr="0044319B" w:rsidRDefault="00402CC8" w:rsidP="00B756F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</w:p>
        </w:tc>
      </w:tr>
    </w:tbl>
    <w:p w:rsidR="00144F17" w:rsidRPr="0044319B" w:rsidRDefault="00144F17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III. TRÌNH TỰ XỬ LÝ CÔNG VIỆC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1998"/>
        <w:gridCol w:w="2412"/>
        <w:gridCol w:w="1170"/>
        <w:gridCol w:w="1260"/>
        <w:gridCol w:w="2557"/>
      </w:tblGrid>
      <w:tr w:rsidR="00DD6E1B" w:rsidRPr="0044319B" w:rsidTr="00F9220A">
        <w:trPr>
          <w:tblHeader/>
        </w:trPr>
        <w:tc>
          <w:tcPr>
            <w:tcW w:w="81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Bước công việc</w:t>
            </w:r>
          </w:p>
        </w:tc>
        <w:tc>
          <w:tcPr>
            <w:tcW w:w="1998" w:type="dxa"/>
            <w:vAlign w:val="center"/>
          </w:tcPr>
          <w:p w:rsidR="00965776" w:rsidRPr="00C508E6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Nội dung công việc</w:t>
            </w:r>
          </w:p>
        </w:tc>
        <w:tc>
          <w:tcPr>
            <w:tcW w:w="2412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Trách nhiệm</w:t>
            </w:r>
          </w:p>
        </w:tc>
        <w:tc>
          <w:tcPr>
            <w:tcW w:w="117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26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b/>
                <w:sz w:val="26"/>
                <w:szCs w:val="26"/>
              </w:rPr>
              <w:t>Biểu mẫu/Kết quả</w:t>
            </w:r>
          </w:p>
        </w:tc>
        <w:tc>
          <w:tcPr>
            <w:tcW w:w="2557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4431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Diễn giải</w:t>
            </w:r>
          </w:p>
        </w:tc>
      </w:tr>
      <w:tr w:rsidR="00DD6E1B" w:rsidRPr="0044319B" w:rsidTr="00F9220A">
        <w:trPr>
          <w:trHeight w:val="980"/>
        </w:trPr>
        <w:tc>
          <w:tcPr>
            <w:tcW w:w="810" w:type="dxa"/>
            <w:vMerge w:val="restart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B1</w:t>
            </w:r>
          </w:p>
        </w:tc>
        <w:tc>
          <w:tcPr>
            <w:tcW w:w="1998" w:type="dxa"/>
            <w:vAlign w:val="center"/>
          </w:tcPr>
          <w:p w:rsidR="00965776" w:rsidRPr="00C508E6" w:rsidRDefault="00965776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Nộp hồ sơ</w:t>
            </w:r>
          </w:p>
        </w:tc>
        <w:tc>
          <w:tcPr>
            <w:tcW w:w="2412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Tổ chức, cá nhân</w:t>
            </w:r>
          </w:p>
        </w:tc>
        <w:tc>
          <w:tcPr>
            <w:tcW w:w="1170" w:type="dxa"/>
            <w:vMerge w:val="restart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Giờ hành chính</w:t>
            </w:r>
          </w:p>
        </w:tc>
        <w:tc>
          <w:tcPr>
            <w:tcW w:w="1260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</w:tc>
        <w:tc>
          <w:tcPr>
            <w:tcW w:w="2557" w:type="dxa"/>
            <w:vAlign w:val="center"/>
          </w:tcPr>
          <w:p w:rsidR="00965776" w:rsidRPr="0044319B" w:rsidRDefault="00965776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Thành phần hồ sơ theo mục I</w:t>
            </w:r>
          </w:p>
        </w:tc>
      </w:tr>
      <w:tr w:rsidR="00DC5177" w:rsidRPr="0044319B" w:rsidTr="00F9220A">
        <w:trPr>
          <w:trHeight w:val="890"/>
        </w:trPr>
        <w:tc>
          <w:tcPr>
            <w:tcW w:w="810" w:type="dxa"/>
            <w:vMerge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 w:eastAsia="en-GB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GB" w:eastAsia="en-GB"/>
              </w:rPr>
              <w:t>Kiểm tra hồ sơ</w:t>
            </w:r>
          </w:p>
        </w:tc>
        <w:tc>
          <w:tcPr>
            <w:tcW w:w="2412" w:type="dxa"/>
            <w:vAlign w:val="center"/>
          </w:tcPr>
          <w:p w:rsidR="00DC5177" w:rsidRPr="005153F2" w:rsidRDefault="00DC5177" w:rsidP="00970D87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53F2">
              <w:rPr>
                <w:rFonts w:ascii="Times New Roman" w:hAnsi="Times New Roman" w:cs="Times New Roman"/>
                <w:sz w:val="26"/>
                <w:szCs w:val="26"/>
              </w:rPr>
              <w:t xml:space="preserve">Bộ phận tiếp nhận và trả kết quả - Ủy ban nhân dân quận, huyện hoặc Phòng Giáo dục và Đào tạo các quận – huyện </w:t>
            </w:r>
          </w:p>
        </w:tc>
        <w:tc>
          <w:tcPr>
            <w:tcW w:w="1170" w:type="dxa"/>
            <w:vMerge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BM 02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br/>
              <w:t>BM 03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Trường hợp hồ sơ đầy đủ và hợp lệ: Lập Giấy tiếp nhận hồ sơ và hẹn trả kết quả; trao cho người nộp hồ sơ theo BM 01, thực hiện tiếp bước B2.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Trường hợp hồ sơ chưa đầy đủ hoặc chưa hợp lệ: Hướng dẫn người nộp hồ sơ bổ sung, hoàn thiện hồ sơ và ghi rõ lý do theo BM 02.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Trường hợp từ chối tiếp nhận hồ sơ: Lập Phiếu từ chối tiếp nhận giải quyết hồ sơ theo BM 03.</w:t>
            </w:r>
          </w:p>
        </w:tc>
      </w:tr>
      <w:tr w:rsidR="00DC5177" w:rsidRPr="0044319B" w:rsidTr="00F9220A">
        <w:trPr>
          <w:trHeight w:val="890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B2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Tiếp nhận hồ sơ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970D87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Bộ phận tiếp nhận và trả kết quả - Ủy ban nhân dân quận, huyện hoặc Phòng Giáo dục và Đào tạo các quận – huyện 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177" w:rsidRPr="0044319B" w:rsidRDefault="00DC5177" w:rsidP="009960F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44319B" w:rsidRDefault="00DC5177" w:rsidP="009960F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Chuyển hồ sơ cho Bộ phận chuyên môn </w:t>
            </w:r>
          </w:p>
        </w:tc>
      </w:tr>
      <w:tr w:rsidR="00DC5177" w:rsidRPr="0044319B" w:rsidTr="00F9220A">
        <w:trPr>
          <w:trHeight w:val="1160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B3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2412" w:type="dxa"/>
            <w:vAlign w:val="center"/>
          </w:tcPr>
          <w:p w:rsidR="00DC5177" w:rsidRPr="0044319B" w:rsidRDefault="00DC5177" w:rsidP="00B15112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Bộ phận chuyên môn giải quyết </w:t>
            </w:r>
            <w:r w:rsidRPr="0044319B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thủ tục hành chính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0,5 ngày làm việc 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B15112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Tiếp nhận hồ sơ và phân công công chức thụ lý hồ sơ</w:t>
            </w:r>
          </w:p>
        </w:tc>
      </w:tr>
      <w:tr w:rsidR="00DC5177" w:rsidRPr="0044319B" w:rsidTr="00F9220A">
        <w:trPr>
          <w:trHeight w:val="1205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B4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6B146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Thẩm định hồ sơ, đề xuất kết quả giải quyết thủ tục hành chính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Công chức thụ lý hồ sơ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15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B15112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mục I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 01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Hồ sơ trình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Văn bản thẩm định</w:t>
            </w:r>
          </w:p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- Dự thảo kết quả: Tờ trình, Quyết định/văn bản trả lời nêu rõ 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lý do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Công chức thụ lý hồ sơ tiến hành xem xét, kiểm tra, thẩm định hồ sơ; lấy ý kiến đơn vị có liên quan (nếu có); kiểm tra thực tế tại cơ sở.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Tổng hợp, hoàn thiện hồ sơ, lập tờ trình và dự thảo kết quả trình Lãnh đạo Phòng xem xét</w:t>
            </w:r>
          </w:p>
        </w:tc>
      </w:tr>
      <w:tr w:rsidR="00DC5177" w:rsidRPr="0044319B" w:rsidTr="00F9220A">
        <w:trPr>
          <w:trHeight w:val="4607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B5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Xem xét, ký duyệt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Lãnh đạo Phòng Giáo dục và Đào tạo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03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B15112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Theo mục I</w:t>
            </w:r>
          </w:p>
          <w:p w:rsidR="00DC5177" w:rsidRPr="0044319B" w:rsidRDefault="00DC5177" w:rsidP="00B15112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BM</w:t>
            </w:r>
          </w:p>
          <w:p w:rsidR="00DC5177" w:rsidRPr="0044319B" w:rsidRDefault="00DC5177" w:rsidP="00B15112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Hồ sơ trình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Tờ trình</w:t>
            </w:r>
          </w:p>
          <w:p w:rsidR="00DC5177" w:rsidRPr="0044319B" w:rsidRDefault="00DC5177" w:rsidP="006B1467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-Quyết định/ Văn bản nêu rõ lý do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ind w:lef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Kiểm tra lại hồ sơ và ký duyệt:</w:t>
            </w:r>
          </w:p>
          <w:p w:rsidR="00DC5177" w:rsidRPr="0044319B" w:rsidRDefault="00DC5177" w:rsidP="009960FD">
            <w:pPr>
              <w:ind w:lef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Nếu hồ sơ đầy đủ và hợp lệ: ký phê duyệt kết quả</w:t>
            </w:r>
          </w:p>
          <w:p w:rsidR="00DC5177" w:rsidRPr="0044319B" w:rsidRDefault="00DC5177" w:rsidP="009960FD">
            <w:pPr>
              <w:ind w:lef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Nếu hồ sơ không đầy đủ và hợp lệ: Thông báo từ chối bằng văn bản và nêu rõ lý do</w:t>
            </w:r>
          </w:p>
        </w:tc>
      </w:tr>
      <w:tr w:rsidR="00DC5177" w:rsidRPr="0044319B" w:rsidTr="00F9220A">
        <w:trPr>
          <w:trHeight w:val="1430"/>
        </w:trPr>
        <w:tc>
          <w:tcPr>
            <w:tcW w:w="81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B6</w:t>
            </w:r>
          </w:p>
        </w:tc>
        <w:tc>
          <w:tcPr>
            <w:tcW w:w="1998" w:type="dxa"/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Ban hành văn bản</w:t>
            </w:r>
          </w:p>
        </w:tc>
        <w:tc>
          <w:tcPr>
            <w:tcW w:w="2412" w:type="dxa"/>
            <w:vAlign w:val="center"/>
          </w:tcPr>
          <w:p w:rsidR="00DC5177" w:rsidRPr="00D47B3E" w:rsidRDefault="00DC5177" w:rsidP="006B1467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Văn thư Phòng Giáo dục và Đào tạo</w:t>
            </w:r>
          </w:p>
        </w:tc>
        <w:tc>
          <w:tcPr>
            <w:tcW w:w="1170" w:type="dxa"/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01 ngày làm việc</w:t>
            </w:r>
          </w:p>
        </w:tc>
        <w:tc>
          <w:tcPr>
            <w:tcW w:w="1260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Hồ sơ đã được phê duyệt</w:t>
            </w:r>
          </w:p>
        </w:tc>
        <w:tc>
          <w:tcPr>
            <w:tcW w:w="2557" w:type="dxa"/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 xml:space="preserve"> Cho số, vào sổ, đóng dấu, ban hành văn bản đến Bộ phận một cửa và các cá nhân có liên quan.</w:t>
            </w:r>
          </w:p>
        </w:tc>
      </w:tr>
      <w:tr w:rsidR="00DC5177" w:rsidRPr="0044319B" w:rsidTr="00F9220A">
        <w:trPr>
          <w:trHeight w:val="4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B7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C508E6" w:rsidRDefault="00DC5177" w:rsidP="009960FD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</w:pPr>
            <w:r w:rsidRPr="00C508E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t>Trả kết quả, lưu hồ sơ, thống kê và theo dõi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D47B3E" w:rsidRDefault="00DC5177" w:rsidP="00970D87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47B3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Bộ phận tiếp nhận và trả kết quả - Ủy ban nhân dân quận, huyện hoặc Phòng Giáo dục và Đào tạo các quận – huyện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Theo giấy hẹn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Kết quả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Trả kết quả cho tổ chức, cá nhân</w:t>
            </w:r>
          </w:p>
          <w:p w:rsidR="00DC5177" w:rsidRPr="0044319B" w:rsidRDefault="00DC5177" w:rsidP="009960FD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- Thống kê, theo dõi</w:t>
            </w:r>
          </w:p>
        </w:tc>
      </w:tr>
    </w:tbl>
    <w:p w:rsidR="00340BAE" w:rsidRPr="0044319B" w:rsidRDefault="00340BAE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IV. BIỂU MẪU</w:t>
      </w:r>
    </w:p>
    <w:p w:rsidR="00340BAE" w:rsidRPr="00995837" w:rsidRDefault="00340BAE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5837">
        <w:rPr>
          <w:rFonts w:ascii="Times New Roman" w:hAnsi="Times New Roman" w:cs="Times New Roman"/>
          <w:sz w:val="26"/>
          <w:szCs w:val="26"/>
        </w:rPr>
        <w:t>Các biểu mẫu sử dụng tại các bước công việc: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1341"/>
        <w:gridCol w:w="7655"/>
      </w:tblGrid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341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hiệu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Biểu mẫu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Giấy tiếp nhận hồ sơ và hẹn trả kết quả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02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Phiếu yêu cầu bổ sung và hoàn thiện hồ sơ</w:t>
            </w:r>
          </w:p>
        </w:tc>
      </w:tr>
      <w:tr w:rsidR="003C3BC1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1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1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03</w:t>
            </w:r>
          </w:p>
        </w:tc>
        <w:tc>
          <w:tcPr>
            <w:tcW w:w="7655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Mẫu Phiếu từ chối giải quyết tiếp nhận hồ sơ</w:t>
            </w:r>
          </w:p>
        </w:tc>
      </w:tr>
    </w:tbl>
    <w:p w:rsidR="000C02C6" w:rsidRPr="0044319B" w:rsidRDefault="000C02C6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V. HỒ SƠ CẦN LƯU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1058"/>
        <w:gridCol w:w="8079"/>
      </w:tblGrid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1058" w:type="dxa"/>
          </w:tcPr>
          <w:p w:rsidR="00FE35E8" w:rsidRPr="0044319B" w:rsidRDefault="00FE35E8" w:rsidP="003C3BC1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Mã hiệu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Hồ sơ lưu</w:t>
            </w:r>
          </w:p>
        </w:tc>
      </w:tr>
      <w:tr w:rsidR="00DD6E1B" w:rsidRPr="0044319B" w:rsidTr="003C3BC1">
        <w:trPr>
          <w:trHeight w:val="269"/>
        </w:trPr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01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Giấy tiếp nhận hồ sơ và hẹn trả kết quả (lưu tại Bộ phận Một cửa)</w:t>
            </w:r>
          </w:p>
        </w:tc>
      </w:tr>
      <w:tr w:rsidR="00DD6E1B" w:rsidRPr="0044319B" w:rsidTr="003C3BC1">
        <w:trPr>
          <w:trHeight w:val="269"/>
        </w:trPr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02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Phiếu yêu cầu bổ sung và hoàn thiện hồ sơ (nếu có - lưu tại Bộ phận Một cửa)</w:t>
            </w:r>
          </w:p>
        </w:tc>
      </w:tr>
      <w:tr w:rsidR="00DD6E1B" w:rsidRPr="0044319B" w:rsidTr="003C3BC1">
        <w:trPr>
          <w:trHeight w:val="404"/>
        </w:trPr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03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Phiếu từ chối giải quyết tiếp nhận hồ sơ (nếu có - lưu tại Bộ phận Một cửa)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6B1467" w:rsidP="006B1467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BM 04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120" w:after="280" w:afterAutospacing="1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Quyết định cho phép trường mẫu giáo, trường mầm non, nhà trẻ hoạt động giáo dục trở lại</w:t>
            </w:r>
          </w:p>
        </w:tc>
      </w:tr>
      <w:tr w:rsidR="00DD6E1B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2F01C7" w:rsidP="00B05340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//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Các thành phần hồ sơ (</w:t>
            </w:r>
            <w:r w:rsidRPr="0044319B">
              <w:rPr>
                <w:rFonts w:ascii="Times New Roman" w:hAnsi="Times New Roman" w:cs="Times New Roman"/>
                <w:sz w:val="26"/>
                <w:szCs w:val="26"/>
              </w:rPr>
              <w:t>phần I)</w:t>
            </w: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E35E8" w:rsidRPr="0044319B" w:rsidTr="003C3BC1">
        <w:tc>
          <w:tcPr>
            <w:tcW w:w="610" w:type="dxa"/>
          </w:tcPr>
          <w:p w:rsidR="00FE35E8" w:rsidRPr="0044319B" w:rsidRDefault="00FE35E8" w:rsidP="003C3BC1">
            <w:pPr>
              <w:numPr>
                <w:ilvl w:val="0"/>
                <w:numId w:val="2"/>
              </w:numPr>
              <w:spacing w:before="20" w:after="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FE35E8" w:rsidRPr="0044319B" w:rsidRDefault="00FE35E8" w:rsidP="00B05340">
            <w:pPr>
              <w:spacing w:before="20" w:after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="002F01C7"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8079" w:type="dxa"/>
          </w:tcPr>
          <w:p w:rsidR="00FE35E8" w:rsidRPr="0044319B" w:rsidRDefault="00FE35E8" w:rsidP="003C3BC1">
            <w:pPr>
              <w:spacing w:before="20" w:after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319B">
              <w:rPr>
                <w:rFonts w:ascii="Times New Roman" w:eastAsia="Calibri" w:hAnsi="Times New Roman" w:cs="Times New Roman"/>
                <w:sz w:val="26"/>
                <w:szCs w:val="26"/>
              </w:rPr>
              <w:t>Các hồ sơ khác nếu có theo văn bản pháp quy hiện hành</w:t>
            </w:r>
          </w:p>
        </w:tc>
      </w:tr>
    </w:tbl>
    <w:p w:rsidR="00DE1771" w:rsidRPr="0044319B" w:rsidRDefault="00DE1771" w:rsidP="00B756FE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19B">
        <w:rPr>
          <w:rFonts w:ascii="Times New Roman" w:hAnsi="Times New Roman" w:cs="Times New Roman"/>
          <w:b/>
          <w:sz w:val="26"/>
          <w:szCs w:val="26"/>
        </w:rPr>
        <w:t>VI. CƠ SỞ PHÁP LÝ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Luật Giáo dục năm 2005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Luật sửa đổi, bổ sung một số điều của Luật Giáo dục năm 2009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75/2006/NĐ-CP ngày 02 tháng 8 năm 2006 quy định chi tiết và hướng dẫn thi hành một số điều của Luật Giáo dục</w:t>
      </w:r>
    </w:p>
    <w:p w:rsidR="00B96160" w:rsidRPr="0044319B" w:rsidRDefault="00B96160" w:rsidP="00B756F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31/2011/NĐ-CP ngày 11 tháng 5 năm 2011 sửa đổi, bổ sung một số điều của Nghị định số 75/2006/NĐ-CP ngày 02/8/2006 của Chính phủ quy định chi tiết và hướng dẫn thi hành một số điều của Luật Giáo dục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Quyết định số 04/VBHN-BGDĐT ngày 24 tháng 12 năm 2015 của Bộ trưởng Bộ Giáo dục và Đào tạo ban hành Điều lệ Trường mầm non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 xml:space="preserve">- Thông tư số 13/2015/TT-BGDĐT ngày 30 tháng 6 năm 2015 của Bộ Giáo dục và Đào tạo Ban hành Quy chế tổ chức và hoạt động của trường mầm non tư thục 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46/2017/NĐ-CP ngày 21 tháng 4 năm 2017 quy định về điều kiện đầu tư và hoạt động trong lĩnh vực giáo dục.</w:t>
      </w:r>
    </w:p>
    <w:p w:rsidR="00407CF7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Thông tư 28/2016/TT-BGDĐT sửa đổi Chương trình giáo dục mầm non kèm theo 17/2009/TT-BGDĐT ngày 25 tháng 7 năm 2009 của Bộ trưởng Bộ Giáo dục và Đào tạo</w:t>
      </w:r>
      <w:r w:rsidR="00EF2103" w:rsidRPr="0044319B">
        <w:rPr>
          <w:rFonts w:ascii="Times New Roman" w:hAnsi="Times New Roman" w:cs="Times New Roman"/>
          <w:sz w:val="26"/>
          <w:szCs w:val="26"/>
        </w:rPr>
        <w:t>.</w:t>
      </w:r>
    </w:p>
    <w:p w:rsidR="00DE1771" w:rsidRPr="0044319B" w:rsidRDefault="00407CF7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Thông tư số 02/2010/TT-BGDĐT ngày 11 tháng 02 năm 2010 của Bộ trưởng Bộ Giáo dục và Đào tạo Ban hành Danh mục Đồ dùng - Đồ chơi - Thiết bị dạy học tối thiểu dùng cho Giáo dục mầm non</w:t>
      </w:r>
      <w:r w:rsidR="00554A65" w:rsidRPr="0044319B">
        <w:rPr>
          <w:rFonts w:ascii="Times New Roman" w:hAnsi="Times New Roman" w:cs="Times New Roman"/>
          <w:sz w:val="26"/>
          <w:szCs w:val="26"/>
        </w:rPr>
        <w:t>.</w:t>
      </w:r>
    </w:p>
    <w:p w:rsidR="002501D1" w:rsidRPr="0044319B" w:rsidRDefault="002501D1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319B">
        <w:rPr>
          <w:rFonts w:ascii="Times New Roman" w:hAnsi="Times New Roman" w:cs="Times New Roman"/>
          <w:sz w:val="26"/>
          <w:szCs w:val="26"/>
        </w:rPr>
        <w:t>- Nghị định số 135/2018/NĐ-CP ngày 04 tháng 10 năm 2018 sửa đổi, bổ sung Nghị định số 46/2017/NĐ-CP ngày 21 tháng 4 năm 2017 của Chính phủ quy định về điều kiện đầu tư và hoạt động trong lĩnh vực giáo dục.</w:t>
      </w:r>
    </w:p>
    <w:p w:rsidR="00343CD0" w:rsidRPr="0044319B" w:rsidRDefault="00343CD0" w:rsidP="00343CD0">
      <w:pPr>
        <w:pStyle w:val="BodyText"/>
        <w:spacing w:after="120"/>
        <w:ind w:firstLine="567"/>
        <w:rPr>
          <w:rFonts w:ascii="Times New Roman" w:hAnsi="Times New Roman"/>
          <w:b/>
          <w:sz w:val="26"/>
          <w:szCs w:val="26"/>
        </w:rPr>
      </w:pPr>
      <w:r w:rsidRPr="0044319B">
        <w:rPr>
          <w:rFonts w:ascii="Times New Roman" w:hAnsi="Times New Roman"/>
          <w:sz w:val="26"/>
          <w:szCs w:val="26"/>
        </w:rPr>
        <w:t>- Thông tư số 01/2018/TT-VPCP ngày 23 tháng 11 năm 2018 của Văn phòng Chính phủ hướng dẫn thi hành một số quy định của Nghị định số 61/2018/NĐ-CP ngày 23 tháng 4 năm 2018 của Chính phủ về thực hiện cơ chế một cửa, một cửa liên thông trong giải quyết thủ tục hành chính.</w:t>
      </w:r>
    </w:p>
    <w:p w:rsidR="00343CD0" w:rsidRPr="0044319B" w:rsidRDefault="00343CD0" w:rsidP="00407CF7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343CD0" w:rsidRPr="0044319B" w:rsidSect="0044319B">
      <w:foot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3C" w:rsidRDefault="00203F3C" w:rsidP="007945FA">
      <w:pPr>
        <w:spacing w:after="0" w:line="240" w:lineRule="auto"/>
      </w:pPr>
      <w:r>
        <w:separator/>
      </w:r>
    </w:p>
  </w:endnote>
  <w:endnote w:type="continuationSeparator" w:id="1">
    <w:p w:rsidR="00203F3C" w:rsidRDefault="00203F3C" w:rsidP="0079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438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C3BC1" w:rsidRPr="007945FA" w:rsidRDefault="001E71C4">
        <w:pPr>
          <w:pStyle w:val="Footer"/>
          <w:jc w:val="right"/>
          <w:rPr>
            <w:rFonts w:ascii="Times New Roman" w:hAnsi="Times New Roman" w:cs="Times New Roman"/>
          </w:rPr>
        </w:pPr>
        <w:r w:rsidRPr="007945FA">
          <w:rPr>
            <w:rFonts w:ascii="Times New Roman" w:hAnsi="Times New Roman" w:cs="Times New Roman"/>
          </w:rPr>
          <w:fldChar w:fldCharType="begin"/>
        </w:r>
        <w:r w:rsidR="003C3BC1" w:rsidRPr="007945FA">
          <w:rPr>
            <w:rFonts w:ascii="Times New Roman" w:hAnsi="Times New Roman" w:cs="Times New Roman"/>
          </w:rPr>
          <w:instrText xml:space="preserve"> PAGE   \* MERGEFORMAT </w:instrText>
        </w:r>
        <w:r w:rsidRPr="007945FA">
          <w:rPr>
            <w:rFonts w:ascii="Times New Roman" w:hAnsi="Times New Roman" w:cs="Times New Roman"/>
          </w:rPr>
          <w:fldChar w:fldCharType="separate"/>
        </w:r>
        <w:r w:rsidR="00D65C21">
          <w:rPr>
            <w:rFonts w:ascii="Times New Roman" w:hAnsi="Times New Roman" w:cs="Times New Roman"/>
            <w:noProof/>
          </w:rPr>
          <w:t>5</w:t>
        </w:r>
        <w:r w:rsidRPr="007945F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C3BC1" w:rsidRDefault="003C3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3C" w:rsidRDefault="00203F3C" w:rsidP="007945FA">
      <w:pPr>
        <w:spacing w:after="0" w:line="240" w:lineRule="auto"/>
      </w:pPr>
      <w:r>
        <w:separator/>
      </w:r>
    </w:p>
  </w:footnote>
  <w:footnote w:type="continuationSeparator" w:id="1">
    <w:p w:rsidR="00203F3C" w:rsidRDefault="00203F3C" w:rsidP="00794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DD1"/>
    <w:multiLevelType w:val="hybridMultilevel"/>
    <w:tmpl w:val="D4BC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731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216"/>
    <w:rsid w:val="00074D42"/>
    <w:rsid w:val="0008356C"/>
    <w:rsid w:val="000C02C6"/>
    <w:rsid w:val="000F3F70"/>
    <w:rsid w:val="00102AEE"/>
    <w:rsid w:val="0013491B"/>
    <w:rsid w:val="00144F17"/>
    <w:rsid w:val="00171505"/>
    <w:rsid w:val="001A0403"/>
    <w:rsid w:val="001E71C4"/>
    <w:rsid w:val="001F2C48"/>
    <w:rsid w:val="00203F3C"/>
    <w:rsid w:val="00215CA5"/>
    <w:rsid w:val="00233591"/>
    <w:rsid w:val="002458A2"/>
    <w:rsid w:val="002479E7"/>
    <w:rsid w:val="002501D1"/>
    <w:rsid w:val="0025360F"/>
    <w:rsid w:val="0028265B"/>
    <w:rsid w:val="00294CD0"/>
    <w:rsid w:val="002A432B"/>
    <w:rsid w:val="002F01C7"/>
    <w:rsid w:val="0030151C"/>
    <w:rsid w:val="00340BAE"/>
    <w:rsid w:val="00343CD0"/>
    <w:rsid w:val="0037484B"/>
    <w:rsid w:val="00384C68"/>
    <w:rsid w:val="003A270A"/>
    <w:rsid w:val="003C0510"/>
    <w:rsid w:val="003C3BC1"/>
    <w:rsid w:val="003E172D"/>
    <w:rsid w:val="00402CC8"/>
    <w:rsid w:val="00407CF7"/>
    <w:rsid w:val="0044319B"/>
    <w:rsid w:val="0044395F"/>
    <w:rsid w:val="00472816"/>
    <w:rsid w:val="0048730B"/>
    <w:rsid w:val="004A21E7"/>
    <w:rsid w:val="004A435F"/>
    <w:rsid w:val="004B092D"/>
    <w:rsid w:val="004C3284"/>
    <w:rsid w:val="004C7115"/>
    <w:rsid w:val="004D1137"/>
    <w:rsid w:val="00514037"/>
    <w:rsid w:val="00554A65"/>
    <w:rsid w:val="00563DA4"/>
    <w:rsid w:val="005A4BA2"/>
    <w:rsid w:val="005E2041"/>
    <w:rsid w:val="00614094"/>
    <w:rsid w:val="00683170"/>
    <w:rsid w:val="00685565"/>
    <w:rsid w:val="006B1467"/>
    <w:rsid w:val="006D170B"/>
    <w:rsid w:val="00701FA0"/>
    <w:rsid w:val="007945FA"/>
    <w:rsid w:val="007A2B72"/>
    <w:rsid w:val="008356B0"/>
    <w:rsid w:val="00882803"/>
    <w:rsid w:val="00896FE6"/>
    <w:rsid w:val="008C2BB1"/>
    <w:rsid w:val="0090424A"/>
    <w:rsid w:val="009232B3"/>
    <w:rsid w:val="0093280A"/>
    <w:rsid w:val="00953309"/>
    <w:rsid w:val="00965776"/>
    <w:rsid w:val="00984216"/>
    <w:rsid w:val="009842A7"/>
    <w:rsid w:val="00986797"/>
    <w:rsid w:val="00995837"/>
    <w:rsid w:val="009D0E7E"/>
    <w:rsid w:val="009D1857"/>
    <w:rsid w:val="009D664D"/>
    <w:rsid w:val="00AE1343"/>
    <w:rsid w:val="00B05340"/>
    <w:rsid w:val="00B15112"/>
    <w:rsid w:val="00B756FE"/>
    <w:rsid w:val="00B96160"/>
    <w:rsid w:val="00BA554F"/>
    <w:rsid w:val="00BE4779"/>
    <w:rsid w:val="00C00BB2"/>
    <w:rsid w:val="00C01C6E"/>
    <w:rsid w:val="00C508E6"/>
    <w:rsid w:val="00C50FF3"/>
    <w:rsid w:val="00C61179"/>
    <w:rsid w:val="00C91B81"/>
    <w:rsid w:val="00C95655"/>
    <w:rsid w:val="00CC4293"/>
    <w:rsid w:val="00CF5100"/>
    <w:rsid w:val="00D47B3E"/>
    <w:rsid w:val="00D529B2"/>
    <w:rsid w:val="00D566E1"/>
    <w:rsid w:val="00D5716F"/>
    <w:rsid w:val="00D65C21"/>
    <w:rsid w:val="00D7642E"/>
    <w:rsid w:val="00D76F8C"/>
    <w:rsid w:val="00D91C57"/>
    <w:rsid w:val="00DC5177"/>
    <w:rsid w:val="00DD6E1B"/>
    <w:rsid w:val="00DE1771"/>
    <w:rsid w:val="00DE1892"/>
    <w:rsid w:val="00E54719"/>
    <w:rsid w:val="00E87BDC"/>
    <w:rsid w:val="00E9386B"/>
    <w:rsid w:val="00E93D58"/>
    <w:rsid w:val="00EC1F83"/>
    <w:rsid w:val="00EC2109"/>
    <w:rsid w:val="00EC3385"/>
    <w:rsid w:val="00ED18C9"/>
    <w:rsid w:val="00EF2103"/>
    <w:rsid w:val="00F26E23"/>
    <w:rsid w:val="00F4621F"/>
    <w:rsid w:val="00F57E5F"/>
    <w:rsid w:val="00F60CEB"/>
    <w:rsid w:val="00F72BA5"/>
    <w:rsid w:val="00F910BB"/>
    <w:rsid w:val="00F9220A"/>
    <w:rsid w:val="00FD5475"/>
    <w:rsid w:val="00FE35E8"/>
    <w:rsid w:val="00FF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0A"/>
    <w:pPr>
      <w:ind w:left="720"/>
      <w:contextualSpacing/>
    </w:pPr>
  </w:style>
  <w:style w:type="table" w:styleId="TableGrid">
    <w:name w:val="Table Grid"/>
    <w:basedOn w:val="TableNormal"/>
    <w:uiPriority w:val="39"/>
    <w:rsid w:val="0010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FA"/>
  </w:style>
  <w:style w:type="paragraph" w:styleId="Footer">
    <w:name w:val="footer"/>
    <w:basedOn w:val="Normal"/>
    <w:link w:val="Foot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FA"/>
  </w:style>
  <w:style w:type="paragraph" w:styleId="BodyText">
    <w:name w:val="Body Text"/>
    <w:basedOn w:val="Normal"/>
    <w:link w:val="BodyTextChar"/>
    <w:uiPriority w:val="99"/>
    <w:rsid w:val="00343CD0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43CD0"/>
    <w:rPr>
      <w:rFonts w:ascii=".VnTime" w:eastAsia="Times New Roman" w:hAnsi=".VnTime" w:cs="Times New Roman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0A"/>
    <w:pPr>
      <w:ind w:left="720"/>
      <w:contextualSpacing/>
    </w:pPr>
  </w:style>
  <w:style w:type="table" w:styleId="TableGrid">
    <w:name w:val="Table Grid"/>
    <w:basedOn w:val="TableNormal"/>
    <w:uiPriority w:val="39"/>
    <w:rsid w:val="0010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FA"/>
  </w:style>
  <w:style w:type="paragraph" w:styleId="Footer">
    <w:name w:val="footer"/>
    <w:basedOn w:val="Normal"/>
    <w:link w:val="FooterChar"/>
    <w:uiPriority w:val="99"/>
    <w:unhideWhenUsed/>
    <w:rsid w:val="00794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FA"/>
  </w:style>
  <w:style w:type="paragraph" w:styleId="BodyText">
    <w:name w:val="Body Text"/>
    <w:basedOn w:val="Normal"/>
    <w:link w:val="BodyTextChar"/>
    <w:uiPriority w:val="99"/>
    <w:rsid w:val="00343CD0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43CD0"/>
    <w:rPr>
      <w:rFonts w:ascii=".VnTime" w:eastAsia="Times New Roman" w:hAnsi=".VnTime" w:cs="Times New Roman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CMS</cp:lastModifiedBy>
  <cp:revision>2</cp:revision>
  <dcterms:created xsi:type="dcterms:W3CDTF">2020-04-07T08:00:00Z</dcterms:created>
  <dcterms:modified xsi:type="dcterms:W3CDTF">2020-04-07T08:00:00Z</dcterms:modified>
</cp:coreProperties>
</file>